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64AD" w14:textId="77777777" w:rsidR="00C31CC6" w:rsidRDefault="00C31CC6">
      <w:pPr>
        <w:pStyle w:val="a5"/>
        <w:widowControl/>
        <w:shd w:val="clear" w:color="auto" w:fill="FFFFFF"/>
        <w:spacing w:beforeAutospacing="0" w:afterAutospacing="0" w:line="252" w:lineRule="atLeast"/>
        <w:rPr>
          <w:rStyle w:val="a6"/>
          <w:rFonts w:asciiTheme="minorEastAsia" w:hAnsiTheme="minorEastAsia" w:cstheme="minorEastAsia"/>
          <w:color w:val="000000"/>
          <w:shd w:val="clear" w:color="auto" w:fill="FFFFFF"/>
        </w:rPr>
      </w:pPr>
    </w:p>
    <w:p w14:paraId="2CEE2B9F" w14:textId="77777777" w:rsidR="00C31CC6" w:rsidRDefault="00B11AB7">
      <w:pPr>
        <w:pStyle w:val="a5"/>
        <w:widowControl/>
        <w:shd w:val="clear" w:color="auto" w:fill="FFFFFF"/>
        <w:spacing w:beforeAutospacing="0" w:afterAutospacing="0" w:line="252" w:lineRule="atLeast"/>
        <w:jc w:val="center"/>
        <w:rPr>
          <w:rFonts w:asciiTheme="minorEastAsia" w:hAnsiTheme="minorEastAsia" w:cstheme="minorEastAsia"/>
          <w:b/>
          <w:color w:val="333333"/>
          <w:sz w:val="32"/>
          <w:szCs w:val="32"/>
        </w:rPr>
      </w:pPr>
      <w:r>
        <w:rPr>
          <w:rStyle w:val="a6"/>
          <w:rFonts w:asciiTheme="minorEastAsia" w:hAnsiTheme="minorEastAsia" w:cstheme="minorEastAsia" w:hint="eastAsia"/>
          <w:color w:val="000000"/>
          <w:sz w:val="32"/>
          <w:szCs w:val="32"/>
          <w:shd w:val="clear" w:color="auto" w:fill="FFFFFF"/>
        </w:rPr>
        <w:t>认证收费标准</w:t>
      </w:r>
    </w:p>
    <w:p w14:paraId="480C4675" w14:textId="344998A3" w:rsidR="00C31CC6" w:rsidRPr="003224FB" w:rsidRDefault="00BD4C5B" w:rsidP="00FD609F">
      <w:pPr>
        <w:pStyle w:val="a5"/>
        <w:widowControl/>
        <w:numPr>
          <w:ilvl w:val="0"/>
          <w:numId w:val="6"/>
        </w:numPr>
        <w:shd w:val="clear" w:color="auto" w:fill="FFFFFF"/>
        <w:spacing w:beforeLines="50" w:before="156" w:beforeAutospacing="0" w:afterLines="50" w:after="156" w:afterAutospacing="0" w:line="360" w:lineRule="auto"/>
        <w:ind w:left="0" w:firstLine="0"/>
        <w:rPr>
          <w:rFonts w:asciiTheme="minorEastAsia" w:hAnsiTheme="minorEastAsia" w:cstheme="minorEastAsia"/>
          <w:b/>
          <w:color w:val="333333"/>
          <w:shd w:val="clear" w:color="auto" w:fill="FFFFFF"/>
        </w:rPr>
      </w:pPr>
      <w:r w:rsidRPr="003224FB"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目的与使用范围</w:t>
      </w:r>
    </w:p>
    <w:p w14:paraId="6FFC5DCC" w14:textId="228CBE11" w:rsidR="00BD4C5B" w:rsidRDefault="00470529" w:rsidP="00FD609F">
      <w:pPr>
        <w:pStyle w:val="a5"/>
        <w:widowControl/>
        <w:shd w:val="clear" w:color="auto" w:fill="FFFFFF"/>
        <w:spacing w:beforeLines="50" w:before="156" w:beforeAutospacing="0" w:afterLines="50" w:after="156" w:afterAutospacing="0" w:line="360" w:lineRule="exact"/>
        <w:ind w:firstLineChars="200" w:firstLine="480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/>
          <w:color w:val="333333"/>
        </w:rPr>
        <w:t>为了</w:t>
      </w:r>
      <w:r>
        <w:rPr>
          <w:rFonts w:asciiTheme="minorEastAsia" w:hAnsiTheme="minorEastAsia" w:cstheme="minorEastAsia" w:hint="eastAsia"/>
          <w:color w:val="333333"/>
        </w:rPr>
        <w:t>规范</w:t>
      </w:r>
      <w:r>
        <w:rPr>
          <w:rFonts w:asciiTheme="minorEastAsia" w:hAnsiTheme="minorEastAsia" w:cstheme="minorEastAsia"/>
          <w:color w:val="333333"/>
        </w:rPr>
        <w:t>认证收费行为</w:t>
      </w:r>
      <w:r>
        <w:rPr>
          <w:rFonts w:asciiTheme="minorEastAsia" w:hAnsiTheme="minorEastAsia" w:cstheme="minorEastAsia" w:hint="eastAsia"/>
          <w:color w:val="333333"/>
        </w:rPr>
        <w:t>，</w:t>
      </w:r>
      <w:r>
        <w:rPr>
          <w:rFonts w:asciiTheme="minorEastAsia" w:hAnsiTheme="minorEastAsia" w:cstheme="minorEastAsia"/>
          <w:color w:val="333333"/>
        </w:rPr>
        <w:t>加强机构对认证组织的认证收费管理</w:t>
      </w:r>
      <w:r>
        <w:rPr>
          <w:rFonts w:asciiTheme="minorEastAsia" w:hAnsiTheme="minorEastAsia" w:cstheme="minorEastAsia" w:hint="eastAsia"/>
          <w:color w:val="333333"/>
        </w:rPr>
        <w:t>，维护认证双方的利益，</w:t>
      </w:r>
      <w:proofErr w:type="gramStart"/>
      <w:r>
        <w:rPr>
          <w:rFonts w:asciiTheme="minorEastAsia" w:hAnsiTheme="minorEastAsia" w:cstheme="minorEastAsia" w:hint="eastAsia"/>
          <w:color w:val="333333"/>
        </w:rPr>
        <w:t>特制定此标准</w:t>
      </w:r>
      <w:proofErr w:type="gramEnd"/>
      <w:r>
        <w:rPr>
          <w:rFonts w:asciiTheme="minorEastAsia" w:hAnsiTheme="minorEastAsia" w:cstheme="minorEastAsia" w:hint="eastAsia"/>
          <w:color w:val="333333"/>
        </w:rPr>
        <w:t>。</w:t>
      </w:r>
    </w:p>
    <w:p w14:paraId="0C64699F" w14:textId="1B04E359" w:rsidR="00470529" w:rsidRPr="00FD609F" w:rsidRDefault="00470529" w:rsidP="00FD609F">
      <w:pPr>
        <w:pStyle w:val="a5"/>
        <w:widowControl/>
        <w:shd w:val="clear" w:color="auto" w:fill="FFFFFF"/>
        <w:spacing w:beforeLines="50" w:before="156" w:beforeAutospacing="0" w:afterLines="50" w:after="156" w:afterAutospacing="0" w:line="360" w:lineRule="exact"/>
        <w:ind w:firstLineChars="200" w:firstLine="480"/>
        <w:rPr>
          <w:rFonts w:asciiTheme="minorEastAsia" w:hAnsiTheme="minorEastAsia" w:cstheme="minorEastAsia"/>
          <w:color w:val="333333"/>
        </w:rPr>
      </w:pPr>
      <w:r w:rsidRPr="00FD609F">
        <w:rPr>
          <w:rFonts w:asciiTheme="minorEastAsia" w:hAnsiTheme="minorEastAsia" w:cstheme="minorEastAsia"/>
          <w:color w:val="333333"/>
        </w:rPr>
        <w:t>本标准适用于</w:t>
      </w:r>
      <w:proofErr w:type="gramStart"/>
      <w:r w:rsidRPr="00FD609F">
        <w:rPr>
          <w:rFonts w:asciiTheme="minorEastAsia" w:hAnsiTheme="minorEastAsia" w:cstheme="minorEastAsia"/>
          <w:color w:val="333333"/>
        </w:rPr>
        <w:t>我机构</w:t>
      </w:r>
      <w:proofErr w:type="gramEnd"/>
      <w:r w:rsidRPr="00FD609F">
        <w:rPr>
          <w:rFonts w:asciiTheme="minorEastAsia" w:hAnsiTheme="minorEastAsia" w:cstheme="minorEastAsia"/>
          <w:color w:val="333333"/>
        </w:rPr>
        <w:t>开展的管理体系认证服务收费</w:t>
      </w:r>
      <w:r w:rsidRPr="00FD609F">
        <w:rPr>
          <w:rFonts w:asciiTheme="minorEastAsia" w:hAnsiTheme="minorEastAsia" w:cstheme="minorEastAsia" w:hint="eastAsia"/>
          <w:color w:val="333333"/>
        </w:rPr>
        <w:t>（不包括信息技术服务管理体系和信息安全管理体系）。</w:t>
      </w:r>
    </w:p>
    <w:p w14:paraId="04B55F18" w14:textId="43F66D38" w:rsidR="00BD4C5B" w:rsidRPr="003224FB" w:rsidRDefault="00470529" w:rsidP="00FD609F">
      <w:pPr>
        <w:pStyle w:val="a5"/>
        <w:widowControl/>
        <w:numPr>
          <w:ilvl w:val="0"/>
          <w:numId w:val="6"/>
        </w:numPr>
        <w:shd w:val="clear" w:color="auto" w:fill="FFFFFF"/>
        <w:spacing w:beforeLines="50" w:before="156" w:beforeAutospacing="0" w:afterLines="50" w:after="156" w:afterAutospacing="0" w:line="360" w:lineRule="auto"/>
        <w:ind w:left="0" w:firstLine="0"/>
        <w:rPr>
          <w:rFonts w:asciiTheme="minorEastAsia" w:hAnsiTheme="minorEastAsia" w:cstheme="minorEastAsia"/>
          <w:b/>
          <w:color w:val="333333"/>
          <w:shd w:val="clear" w:color="auto" w:fill="FFFFFF"/>
        </w:rPr>
      </w:pPr>
      <w:r w:rsidRPr="003224FB">
        <w:rPr>
          <w:rFonts w:asciiTheme="minorEastAsia" w:hAnsiTheme="minorEastAsia" w:cstheme="minorEastAsia"/>
          <w:b/>
          <w:color w:val="333333"/>
          <w:shd w:val="clear" w:color="auto" w:fill="FFFFFF"/>
        </w:rPr>
        <w:t>认证收费原则</w:t>
      </w:r>
    </w:p>
    <w:p w14:paraId="526278C1" w14:textId="65A07885" w:rsidR="00C31CC6" w:rsidRDefault="00FD609F" w:rsidP="003224FB">
      <w:pPr>
        <w:pStyle w:val="a5"/>
        <w:widowControl/>
        <w:numPr>
          <w:ilvl w:val="0"/>
          <w:numId w:val="7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GRGT实施认证活动有偿服务，</w:t>
      </w:r>
      <w:r>
        <w:rPr>
          <w:rFonts w:asciiTheme="minorEastAsia" w:hAnsiTheme="minorEastAsia" w:cstheme="minorEastAsia"/>
          <w:color w:val="333333"/>
          <w:shd w:val="clear" w:color="auto" w:fill="FFFFFF"/>
        </w:rPr>
        <w:t>认证收入用于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维持</w:t>
      </w:r>
      <w:r>
        <w:rPr>
          <w:rFonts w:asciiTheme="minorEastAsia" w:hAnsiTheme="minorEastAsia" w:cstheme="minorEastAsia"/>
          <w:color w:val="333333"/>
          <w:shd w:val="clear" w:color="auto" w:fill="FFFFFF"/>
        </w:rPr>
        <w:t>认证活动的正常进行，不以盈利为目的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。</w:t>
      </w:r>
    </w:p>
    <w:p w14:paraId="0465FC64" w14:textId="26D4E72C" w:rsidR="00D47E1F" w:rsidRDefault="00D47E1F" w:rsidP="003224FB">
      <w:pPr>
        <w:pStyle w:val="a5"/>
        <w:widowControl/>
        <w:numPr>
          <w:ilvl w:val="0"/>
          <w:numId w:val="7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GRGT拒绝收取任何可能影响公正性的馈赠或赞助。</w:t>
      </w:r>
    </w:p>
    <w:p w14:paraId="5A3675F4" w14:textId="02D632BB" w:rsidR="00803EC9" w:rsidRPr="003224FB" w:rsidRDefault="00803EC9" w:rsidP="003224FB">
      <w:pPr>
        <w:pStyle w:val="a5"/>
        <w:widowControl/>
        <w:numPr>
          <w:ilvl w:val="0"/>
          <w:numId w:val="7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认证活动的工作量依据申请组织的规模、认证领域数量、专业特性等按国家主管部门有关要求确定。</w:t>
      </w:r>
    </w:p>
    <w:p w14:paraId="583C8252" w14:textId="06AB44E5" w:rsidR="00FD609F" w:rsidRPr="003224FB" w:rsidRDefault="00803EC9" w:rsidP="00803EC9">
      <w:pPr>
        <w:pStyle w:val="a5"/>
        <w:widowControl/>
        <w:numPr>
          <w:ilvl w:val="0"/>
          <w:numId w:val="6"/>
        </w:numPr>
        <w:shd w:val="clear" w:color="auto" w:fill="FFFFFF"/>
        <w:spacing w:beforeLines="50" w:before="156" w:beforeAutospacing="0" w:afterLines="50" w:after="156" w:afterAutospacing="0" w:line="360" w:lineRule="auto"/>
        <w:ind w:left="0" w:firstLine="0"/>
        <w:rPr>
          <w:rFonts w:asciiTheme="minorEastAsia" w:hAnsiTheme="minorEastAsia" w:cstheme="minorEastAsia"/>
          <w:b/>
          <w:color w:val="333333"/>
          <w:shd w:val="clear" w:color="auto" w:fill="FFFFFF"/>
        </w:rPr>
      </w:pPr>
      <w:r w:rsidRPr="003224FB">
        <w:rPr>
          <w:rFonts w:asciiTheme="minorEastAsia" w:hAnsiTheme="minorEastAsia" w:cstheme="minorEastAsia"/>
          <w:b/>
          <w:color w:val="333333"/>
          <w:shd w:val="clear" w:color="auto" w:fill="FFFFFF"/>
        </w:rPr>
        <w:t>认证收费标准</w:t>
      </w:r>
    </w:p>
    <w:p w14:paraId="12582159" w14:textId="3D0789C8" w:rsidR="00803EC9" w:rsidRPr="00803EC9" w:rsidRDefault="00B11AB7" w:rsidP="00803EC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初次审核</w:t>
      </w:r>
    </w:p>
    <w:p w14:paraId="15EBD22B" w14:textId="2EF48E08" w:rsidR="00C31CC6" w:rsidRDefault="00B11AB7" w:rsidP="003224FB">
      <w:pPr>
        <w:pStyle w:val="a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固定收费：申请费1000元，审定注册费2000元； </w:t>
      </w:r>
    </w:p>
    <w:p w14:paraId="12EA8940" w14:textId="76F9928F" w:rsidR="00C31CC6" w:rsidRDefault="00B11AB7" w:rsidP="003224FB">
      <w:pPr>
        <w:pStyle w:val="a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初审审核费：3000元×审核人·日数；</w:t>
      </w:r>
    </w:p>
    <w:p w14:paraId="4AA0169E" w14:textId="77777777" w:rsidR="00C31CC6" w:rsidRDefault="00B11AB7" w:rsidP="003224FB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监督审核</w:t>
      </w:r>
    </w:p>
    <w:p w14:paraId="7A909857" w14:textId="5F7866FE" w:rsidR="00C31CC6" w:rsidRDefault="00B11AB7" w:rsidP="003224FB">
      <w:pPr>
        <w:pStyle w:val="a5"/>
        <w:widowControl/>
        <w:numPr>
          <w:ilvl w:val="0"/>
          <w:numId w:val="8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年度监督审核费：3000元×审核人·日数；</w:t>
      </w:r>
    </w:p>
    <w:p w14:paraId="183145DB" w14:textId="2913FF9B" w:rsidR="00C31CC6" w:rsidRDefault="00B11AB7" w:rsidP="0038203B">
      <w:pPr>
        <w:pStyle w:val="a5"/>
        <w:widowControl/>
        <w:numPr>
          <w:ilvl w:val="0"/>
          <w:numId w:val="8"/>
        </w:numPr>
        <w:shd w:val="clear" w:color="auto" w:fill="FFFFFF"/>
        <w:spacing w:beforeAutospacing="0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年金：2000元/年；</w:t>
      </w:r>
    </w:p>
    <w:p w14:paraId="3551ACF7" w14:textId="77777777" w:rsidR="00C31CC6" w:rsidRDefault="00B11AB7" w:rsidP="00803EC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再认证审核</w:t>
      </w:r>
    </w:p>
    <w:p w14:paraId="1965415F" w14:textId="450052BD" w:rsidR="00C31CC6" w:rsidRDefault="00B11AB7" w:rsidP="0038203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审核费：3000 元/人日×审核人·日数；</w:t>
      </w:r>
    </w:p>
    <w:p w14:paraId="5C89917B" w14:textId="77777777" w:rsidR="00C31CC6" w:rsidRDefault="00B11AB7" w:rsidP="00803EC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扩大认证范围审核</w:t>
      </w:r>
    </w:p>
    <w:p w14:paraId="249F0FD3" w14:textId="587AEE67" w:rsidR="00C31CC6" w:rsidRDefault="00B11AB7" w:rsidP="0038203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审核费：3000 元/人日×审核人·日数</w:t>
      </w:r>
    </w:p>
    <w:p w14:paraId="2C204618" w14:textId="77777777" w:rsidR="00C31CC6" w:rsidRDefault="00B11AB7" w:rsidP="0038203B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说明：</w:t>
      </w:r>
    </w:p>
    <w:p w14:paraId="6D2DC26F" w14:textId="0790AAE0" w:rsidR="00C31CC6" w:rsidRDefault="00B11AB7" w:rsidP="00976994">
      <w:pPr>
        <w:pStyle w:val="a5"/>
        <w:widowControl/>
        <w:numPr>
          <w:ilvl w:val="0"/>
          <w:numId w:val="13"/>
        </w:numPr>
        <w:shd w:val="clear" w:color="auto" w:fill="FFFFFF"/>
        <w:spacing w:beforeLines="50" w:before="156" w:beforeAutospacing="0" w:afterLines="50" w:after="156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审核人员在进行初访、预审核、正式审核和跟踪验证时发生的食、宿、交通费，按实际的支出费用由受审核方支付。</w:t>
      </w:r>
    </w:p>
    <w:p w14:paraId="5232F292" w14:textId="5A4DDE72" w:rsidR="00D47E1F" w:rsidRPr="00D47E1F" w:rsidRDefault="00D47E1F" w:rsidP="00976994">
      <w:pPr>
        <w:pStyle w:val="a5"/>
        <w:widowControl/>
        <w:numPr>
          <w:ilvl w:val="0"/>
          <w:numId w:val="13"/>
        </w:numPr>
        <w:shd w:val="clear" w:color="auto" w:fill="FFFFFF"/>
        <w:spacing w:beforeLines="50" w:before="156" w:beforeAutospacing="0" w:afterLines="50" w:after="156" w:afterAutospacing="0" w:line="360" w:lineRule="exact"/>
        <w:ind w:left="0" w:firstLineChars="200" w:firstLine="480"/>
        <w:rPr>
          <w:rFonts w:asciiTheme="minorEastAsia" w:hAnsiTheme="minorEastAsia" w:cstheme="minorEastAsia"/>
          <w:color w:val="333333"/>
          <w:shd w:val="clear" w:color="auto" w:fill="FFFFFF"/>
        </w:rPr>
      </w:pPr>
      <w:r w:rsidRPr="00D47E1F">
        <w:rPr>
          <w:rFonts w:asciiTheme="minorEastAsia" w:hAnsiTheme="minorEastAsia" w:cstheme="minorEastAsia"/>
          <w:color w:val="333333"/>
          <w:shd w:val="clear" w:color="auto" w:fill="FFFFFF"/>
        </w:rPr>
        <w:t>各种费用的具体金额和付费时间以认证合同为准。</w:t>
      </w:r>
    </w:p>
    <w:p w14:paraId="18C2281B" w14:textId="5D01E1E5" w:rsidR="00C31CC6" w:rsidRPr="00C5228F" w:rsidRDefault="00EF74C3" w:rsidP="00C5228F">
      <w:pPr>
        <w:pStyle w:val="a5"/>
        <w:widowControl/>
        <w:numPr>
          <w:ilvl w:val="0"/>
          <w:numId w:val="6"/>
        </w:numPr>
        <w:shd w:val="clear" w:color="auto" w:fill="FFFFFF"/>
        <w:spacing w:beforeLines="50" w:before="156" w:beforeAutospacing="0" w:afterLines="50" w:after="156" w:afterAutospacing="0" w:line="360" w:lineRule="auto"/>
        <w:ind w:left="0" w:firstLine="0"/>
        <w:rPr>
          <w:rFonts w:asciiTheme="minorEastAsia" w:hAnsiTheme="minorEastAsia" w:cstheme="minorEastAsia"/>
          <w:b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认证</w:t>
      </w:r>
      <w:r w:rsidR="00725973"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限价</w:t>
      </w:r>
      <w:r w:rsidR="00C5228F" w:rsidRPr="00C5228F"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>收费标准</w:t>
      </w:r>
      <w:r w:rsidR="00B11AB7" w:rsidRPr="00C5228F">
        <w:rPr>
          <w:rFonts w:asciiTheme="minorEastAsia" w:hAnsiTheme="minorEastAsia" w:cstheme="minorEastAsia" w:hint="eastAsia"/>
          <w:b/>
          <w:color w:val="333333"/>
          <w:shd w:val="clear" w:color="auto" w:fill="FFFFFF"/>
        </w:rPr>
        <w:t xml:space="preserve">   </w:t>
      </w:r>
    </w:p>
    <w:p w14:paraId="6B8964E1" w14:textId="77777777" w:rsidR="00C31CC6" w:rsidRDefault="00C31CC6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333333"/>
          <w:shd w:val="clear" w:color="auto" w:fill="FFFFFF"/>
        </w:rPr>
      </w:pPr>
    </w:p>
    <w:p w14:paraId="2C448391" w14:textId="74F7749F" w:rsidR="00EF74C3" w:rsidRPr="00EF74C3" w:rsidRDefault="00EF74C3" w:rsidP="00EF74C3">
      <w:pPr>
        <w:pStyle w:val="a7"/>
        <w:numPr>
          <w:ilvl w:val="0"/>
          <w:numId w:val="12"/>
        </w:numPr>
        <w:spacing w:beforeLines="50" w:before="156" w:afterLines="50" w:after="156" w:line="360" w:lineRule="exact"/>
        <w:ind w:left="0" w:firstLine="480"/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</w:pP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lastRenderedPageBreak/>
        <w:t>质量管理体系认证、环境管理体系认证、职业健康安全管理体系</w:t>
      </w: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、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>食品安全管理体系认证</w:t>
      </w:r>
      <w:r w:rsidR="00EC5419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、危害分析和关键点控制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>的基础价格要求</w:t>
      </w:r>
    </w:p>
    <w:tbl>
      <w:tblPr>
        <w:tblStyle w:val="TableNormal"/>
        <w:tblW w:w="9124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703"/>
        <w:gridCol w:w="1379"/>
        <w:gridCol w:w="1439"/>
        <w:gridCol w:w="2895"/>
      </w:tblGrid>
      <w:tr w:rsidR="00EF74C3" w14:paraId="599D4259" w14:textId="77777777" w:rsidTr="00EF74C3">
        <w:trPr>
          <w:trHeight w:val="592"/>
          <w:jc w:val="center"/>
        </w:trPr>
        <w:tc>
          <w:tcPr>
            <w:tcW w:w="1708" w:type="dxa"/>
            <w:vMerge w:val="restart"/>
            <w:tcBorders>
              <w:bottom w:val="none" w:sz="2" w:space="0" w:color="000000"/>
            </w:tcBorders>
          </w:tcPr>
          <w:p w14:paraId="220AD7BF" w14:textId="77777777" w:rsidR="00EF74C3" w:rsidRPr="00EF74C3" w:rsidRDefault="00EF74C3" w:rsidP="00EF74C3">
            <w:pPr>
              <w:spacing w:line="301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1503701D" w14:textId="77777777" w:rsidR="00EF74C3" w:rsidRPr="00EF74C3" w:rsidRDefault="00EF74C3" w:rsidP="00EF74C3">
            <w:pPr>
              <w:spacing w:line="301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12C5611E" w14:textId="77777777" w:rsidR="00EF74C3" w:rsidRPr="00EF74C3" w:rsidRDefault="00EF74C3" w:rsidP="00EF74C3">
            <w:pPr>
              <w:spacing w:before="78" w:line="223" w:lineRule="auto"/>
              <w:jc w:val="center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18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企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业员工人数</w:t>
            </w:r>
          </w:p>
        </w:tc>
        <w:tc>
          <w:tcPr>
            <w:tcW w:w="1703" w:type="dxa"/>
            <w:vMerge w:val="restart"/>
            <w:tcBorders>
              <w:bottom w:val="none" w:sz="2" w:space="0" w:color="000000"/>
            </w:tcBorders>
          </w:tcPr>
          <w:p w14:paraId="392B6F00" w14:textId="77777777" w:rsidR="00EF74C3" w:rsidRPr="00EF74C3" w:rsidRDefault="00EF74C3" w:rsidP="00EF74C3">
            <w:pPr>
              <w:spacing w:line="251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524E2831" w14:textId="77777777" w:rsidR="00EF74C3" w:rsidRPr="00EF74C3" w:rsidRDefault="00EF74C3" w:rsidP="00EF74C3">
            <w:pPr>
              <w:spacing w:line="251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1EABD777" w14:textId="6E4DF3A1" w:rsidR="00EF74C3" w:rsidRPr="00EF74C3" w:rsidRDefault="00EF74C3" w:rsidP="00EF74C3">
            <w:pPr>
              <w:spacing w:before="78" w:line="260" w:lineRule="auto"/>
              <w:ind w:rightChars="132" w:right="277"/>
              <w:jc w:val="center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9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QMS</w:t>
            </w:r>
            <w:r w:rsidRPr="00EF74C3">
              <w:rPr>
                <w:rFonts w:asciiTheme="minorEastAsia" w:hAnsiTheme="minorEastAsia" w:cs="宋体" w:hint="eastAsia"/>
                <w:spacing w:val="-9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或</w:t>
            </w:r>
            <w:r w:rsidRPr="00EF74C3">
              <w:rPr>
                <w:rFonts w:asciiTheme="minorEastAsia" w:hAnsiTheme="minorEastAsia" w:cs="FangSong"/>
                <w:spacing w:val="-9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FSMS</w:t>
            </w:r>
            <w:r w:rsidR="00EC5419">
              <w:rPr>
                <w:rFonts w:asciiTheme="minorEastAsia" w:hAnsiTheme="minorEastAsia" w:cs="FangSong" w:hint="eastAsia"/>
                <w:spacing w:val="-9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/HACCP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基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础价格</w:t>
            </w:r>
          </w:p>
        </w:tc>
        <w:tc>
          <w:tcPr>
            <w:tcW w:w="5713" w:type="dxa"/>
            <w:gridSpan w:val="3"/>
          </w:tcPr>
          <w:p w14:paraId="4175A73A" w14:textId="77777777" w:rsidR="00EF74C3" w:rsidRPr="00EF74C3" w:rsidRDefault="00EF74C3" w:rsidP="00454805">
            <w:pPr>
              <w:spacing w:before="176" w:line="222" w:lineRule="auto"/>
              <w:ind w:left="1144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EMS</w:t>
            </w: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1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或</w:t>
            </w:r>
            <w:r w:rsidRPr="00EF74C3">
              <w:rPr>
                <w:rFonts w:asciiTheme="minorEastAsia" w:hAnsiTheme="minorEastAsia" w:cs="FangSong"/>
                <w:spacing w:val="-1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OHSMS</w:t>
            </w:r>
            <w:r w:rsidRPr="00EF74C3">
              <w:rPr>
                <w:rFonts w:asciiTheme="minorEastAsia" w:hAnsiTheme="minorEastAsia" w:cs="FangSong"/>
                <w:spacing w:val="-13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1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基础价格</w:t>
            </w:r>
          </w:p>
        </w:tc>
      </w:tr>
      <w:tr w:rsidR="00EF74C3" w14:paraId="6049C3AC" w14:textId="77777777" w:rsidTr="00EF74C3">
        <w:trPr>
          <w:trHeight w:val="1024"/>
          <w:jc w:val="center"/>
        </w:trPr>
        <w:tc>
          <w:tcPr>
            <w:tcW w:w="170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10727DA" w14:textId="77777777" w:rsidR="00EF74C3" w:rsidRPr="00EF74C3" w:rsidRDefault="00EF74C3" w:rsidP="0045480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A908FAB" w14:textId="77777777" w:rsidR="00EF74C3" w:rsidRPr="00EF74C3" w:rsidRDefault="00EF74C3" w:rsidP="0045480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713" w:type="dxa"/>
            <w:gridSpan w:val="3"/>
          </w:tcPr>
          <w:p w14:paraId="66E452CF" w14:textId="77777777" w:rsidR="00EF74C3" w:rsidRPr="00EF74C3" w:rsidRDefault="00EF74C3" w:rsidP="00454805">
            <w:pPr>
              <w:spacing w:before="68" w:line="245" w:lineRule="auto"/>
              <w:ind w:left="122" w:right="87" w:hanging="1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24"/>
                <w:sz w:val="24"/>
              </w:rPr>
              <w:t>根据申请认证组织环境因素复杂程度的不同，</w:t>
            </w:r>
            <w:r w:rsidRPr="00EF74C3">
              <w:rPr>
                <w:rFonts w:asciiTheme="minorEastAsia" w:hAnsiTheme="minorEastAsia" w:cs="FangSong"/>
                <w:spacing w:val="-24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24"/>
                <w:sz w:val="24"/>
              </w:rPr>
              <w:t>或风险程</w:t>
            </w:r>
            <w:r w:rsidRPr="00EF74C3">
              <w:rPr>
                <w:rFonts w:asciiTheme="minorEastAsia" w:hAnsiTheme="minorEastAsia" w:cs="宋体" w:hint="eastAsia"/>
                <w:spacing w:val="-22"/>
                <w:sz w:val="24"/>
              </w:rPr>
              <w:t>度</w:t>
            </w:r>
            <w:r w:rsidRPr="00EF74C3">
              <w:rPr>
                <w:rFonts w:asciiTheme="minorEastAsia" w:hAnsiTheme="minorEastAsia" w:cs="FangSong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35"/>
                <w:sz w:val="24"/>
              </w:rPr>
              <w:t>的</w:t>
            </w:r>
            <w:r w:rsidRPr="00EF74C3">
              <w:rPr>
                <w:rFonts w:asciiTheme="minorEastAsia" w:hAnsiTheme="minorEastAsia" w:cs="宋体" w:hint="eastAsia"/>
                <w:spacing w:val="-18"/>
                <w:sz w:val="24"/>
              </w:rPr>
              <w:t>不同，</w:t>
            </w: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18"/>
                <w:sz w:val="24"/>
              </w:rPr>
              <w:t>按高度复杂、中度复杂、低度</w:t>
            </w: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>(</w:t>
            </w:r>
            <w:r w:rsidRPr="00EF74C3">
              <w:rPr>
                <w:rFonts w:asciiTheme="minorEastAsia" w:hAnsiTheme="minorEastAsia" w:cs="宋体" w:hint="eastAsia"/>
                <w:spacing w:val="-18"/>
                <w:sz w:val="24"/>
              </w:rPr>
              <w:t>有限</w:t>
            </w: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 xml:space="preserve">) </w:t>
            </w:r>
            <w:r w:rsidRPr="00EF74C3">
              <w:rPr>
                <w:rFonts w:asciiTheme="minorEastAsia" w:hAnsiTheme="minorEastAsia" w:cs="宋体" w:hint="eastAsia"/>
                <w:spacing w:val="-18"/>
                <w:sz w:val="24"/>
              </w:rPr>
              <w:t>复杂的等</w:t>
            </w:r>
            <w:r w:rsidRPr="00EF74C3">
              <w:rPr>
                <w:rFonts w:asciiTheme="minorEastAsia" w:hAnsiTheme="minorEastAsia" w:cs="FangSong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34"/>
                <w:sz w:val="24"/>
              </w:rPr>
              <w:t>级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，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或一级、二级、三级风险程度，分别设定基础价格</w:t>
            </w:r>
          </w:p>
        </w:tc>
      </w:tr>
      <w:tr w:rsidR="00EF74C3" w14:paraId="4612A296" w14:textId="77777777" w:rsidTr="00EF74C3">
        <w:trPr>
          <w:trHeight w:val="586"/>
          <w:jc w:val="center"/>
        </w:trPr>
        <w:tc>
          <w:tcPr>
            <w:tcW w:w="1708" w:type="dxa"/>
            <w:vMerge/>
            <w:tcBorders>
              <w:top w:val="none" w:sz="2" w:space="0" w:color="000000"/>
            </w:tcBorders>
          </w:tcPr>
          <w:p w14:paraId="08E4985F" w14:textId="77777777" w:rsidR="00EF74C3" w:rsidRPr="00EF74C3" w:rsidRDefault="00EF74C3" w:rsidP="0045480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vMerge/>
            <w:tcBorders>
              <w:top w:val="none" w:sz="2" w:space="0" w:color="000000"/>
            </w:tcBorders>
          </w:tcPr>
          <w:p w14:paraId="44B623CB" w14:textId="77777777" w:rsidR="00EF74C3" w:rsidRPr="00EF74C3" w:rsidRDefault="00EF74C3" w:rsidP="0045480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79" w:type="dxa"/>
          </w:tcPr>
          <w:p w14:paraId="1A87EDD4" w14:textId="77777777" w:rsidR="00EF74C3" w:rsidRPr="00EF74C3" w:rsidRDefault="00EF74C3" w:rsidP="00EF74C3">
            <w:pPr>
              <w:spacing w:before="172" w:line="222" w:lineRule="auto"/>
              <w:ind w:left="128"/>
              <w:jc w:val="center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9"/>
                <w:w w:val="82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高度污染</w:t>
            </w:r>
            <w:r w:rsidRPr="00EF74C3">
              <w:rPr>
                <w:rFonts w:asciiTheme="minorEastAsia" w:hAnsiTheme="minorEastAsia" w:cs="FangSong"/>
                <w:spacing w:val="-9"/>
                <w:w w:val="82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/</w:t>
            </w:r>
            <w:r w:rsidRPr="00EF74C3">
              <w:rPr>
                <w:rFonts w:asciiTheme="minorEastAsia" w:hAnsiTheme="minorEastAsia" w:cs="宋体" w:hint="eastAsia"/>
                <w:spacing w:val="-9"/>
                <w:w w:val="82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一级</w:t>
            </w:r>
          </w:p>
        </w:tc>
        <w:tc>
          <w:tcPr>
            <w:tcW w:w="1439" w:type="dxa"/>
          </w:tcPr>
          <w:p w14:paraId="6BBB91A4" w14:textId="77777777" w:rsidR="00EF74C3" w:rsidRPr="00EF74C3" w:rsidRDefault="00EF74C3" w:rsidP="00EF74C3">
            <w:pPr>
              <w:spacing w:before="172" w:line="222" w:lineRule="auto"/>
              <w:ind w:left="152"/>
              <w:jc w:val="center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10"/>
                <w:w w:val="84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中度污染</w:t>
            </w:r>
            <w:r w:rsidRPr="00EF74C3">
              <w:rPr>
                <w:rFonts w:asciiTheme="minorEastAsia" w:hAnsiTheme="minorEastAsia" w:cs="FangSong"/>
                <w:spacing w:val="-10"/>
                <w:w w:val="84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/</w:t>
            </w:r>
            <w:r w:rsidRPr="00EF74C3">
              <w:rPr>
                <w:rFonts w:asciiTheme="minorEastAsia" w:hAnsiTheme="minorEastAsia" w:cs="宋体" w:hint="eastAsia"/>
                <w:spacing w:val="-10"/>
                <w:w w:val="84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二级</w:t>
            </w:r>
          </w:p>
        </w:tc>
        <w:tc>
          <w:tcPr>
            <w:tcW w:w="2895" w:type="dxa"/>
          </w:tcPr>
          <w:p w14:paraId="15CF2031" w14:textId="77777777" w:rsidR="00EF74C3" w:rsidRPr="00EF74C3" w:rsidRDefault="00EF74C3" w:rsidP="00EF74C3">
            <w:pPr>
              <w:spacing w:before="172" w:line="222" w:lineRule="auto"/>
              <w:ind w:left="122"/>
              <w:jc w:val="center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6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低度</w:t>
            </w:r>
            <w:r w:rsidRPr="00EF74C3">
              <w:rPr>
                <w:rFonts w:asciiTheme="minorEastAsia" w:hAnsiTheme="minorEastAsia" w:cs="FangSong"/>
                <w:spacing w:val="-5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(</w:t>
            </w:r>
            <w:r w:rsidRPr="00EF74C3">
              <w:rPr>
                <w:rFonts w:asciiTheme="minorEastAsia" w:hAnsiTheme="minorEastAsia" w:cs="宋体" w:hint="eastAsia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有限</w:t>
            </w:r>
            <w:r w:rsidRPr="00EF74C3">
              <w:rPr>
                <w:rFonts w:asciiTheme="minorEastAsia" w:hAnsiTheme="minorEastAsia" w:cs="FangSong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)</w:t>
            </w:r>
            <w:r w:rsidRPr="00EF74C3">
              <w:rPr>
                <w:rFonts w:asciiTheme="minorEastAsia" w:hAnsiTheme="minorEastAsia" w:cs="FangSong"/>
                <w:spacing w:val="-3"/>
                <w:sz w:val="24"/>
              </w:rPr>
              <w:t xml:space="preserve"> </w:t>
            </w:r>
            <w:r w:rsidRPr="00EF74C3">
              <w:rPr>
                <w:rFonts w:asciiTheme="minorEastAsia" w:hAnsiTheme="minorEastAsia" w:cs="宋体" w:hint="eastAsia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污染</w:t>
            </w:r>
            <w:r w:rsidRPr="00EF74C3">
              <w:rPr>
                <w:rFonts w:asciiTheme="minorEastAsia" w:hAnsiTheme="minorEastAsia" w:cs="FangSong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/</w:t>
            </w:r>
            <w:r w:rsidRPr="00EF74C3">
              <w:rPr>
                <w:rFonts w:asciiTheme="minorEastAsia" w:hAnsiTheme="minorEastAsia" w:cs="宋体" w:hint="eastAsia"/>
                <w:spacing w:val="-3"/>
                <w:sz w:val="24"/>
                <w14:textOutline w14:w="3048" w14:cap="flat" w14:cmpd="sng" w14:algn="ctr">
                  <w14:solidFill>
                    <w14:srgbClr w14:val="000000"/>
                  </w14:solidFill>
                  <w14:prstDash w14:val="solid"/>
                  <w14:miter w14:lim="1"/>
                </w14:textOutline>
              </w:rPr>
              <w:t>三级</w:t>
            </w:r>
          </w:p>
        </w:tc>
      </w:tr>
      <w:tr w:rsidR="00EF74C3" w14:paraId="794B6042" w14:textId="77777777" w:rsidTr="00EF74C3">
        <w:trPr>
          <w:trHeight w:val="588"/>
          <w:jc w:val="center"/>
        </w:trPr>
        <w:tc>
          <w:tcPr>
            <w:tcW w:w="1708" w:type="dxa"/>
          </w:tcPr>
          <w:p w14:paraId="53F42377" w14:textId="77777777" w:rsidR="00EF74C3" w:rsidRPr="00EF74C3" w:rsidRDefault="00EF74C3" w:rsidP="00454805">
            <w:pPr>
              <w:spacing w:before="173" w:line="222" w:lineRule="auto"/>
              <w:ind w:left="336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3"/>
                <w:sz w:val="24"/>
              </w:rPr>
              <w:t>6</w:t>
            </w: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 xml:space="preserve">5 </w:t>
            </w:r>
            <w:r w:rsidRPr="00EF74C3">
              <w:rPr>
                <w:rFonts w:asciiTheme="minorEastAsia" w:hAnsiTheme="minorEastAsia" w:cs="宋体" w:hint="eastAsia"/>
                <w:spacing w:val="-18"/>
                <w:sz w:val="24"/>
              </w:rPr>
              <w:t>人以下</w:t>
            </w:r>
          </w:p>
        </w:tc>
        <w:tc>
          <w:tcPr>
            <w:tcW w:w="1703" w:type="dxa"/>
          </w:tcPr>
          <w:p w14:paraId="5801774D" w14:textId="77777777" w:rsidR="00EF74C3" w:rsidRPr="00EF74C3" w:rsidRDefault="00EF74C3" w:rsidP="00454805">
            <w:pPr>
              <w:spacing w:before="173" w:line="226" w:lineRule="auto"/>
              <w:ind w:left="456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4"/>
                <w:sz w:val="24"/>
              </w:rPr>
              <w:t>1</w:t>
            </w: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 xml:space="preserve">.2 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万元</w:t>
            </w:r>
          </w:p>
        </w:tc>
        <w:tc>
          <w:tcPr>
            <w:tcW w:w="1379" w:type="dxa"/>
          </w:tcPr>
          <w:p w14:paraId="4B4AB477" w14:textId="77777777" w:rsidR="00EF74C3" w:rsidRPr="00EF74C3" w:rsidRDefault="00EF74C3" w:rsidP="00454805">
            <w:pPr>
              <w:spacing w:before="173" w:line="226" w:lineRule="auto"/>
              <w:ind w:left="352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4"/>
                <w:sz w:val="24"/>
              </w:rPr>
              <w:t>1</w:t>
            </w: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万元</w:t>
            </w:r>
          </w:p>
        </w:tc>
        <w:tc>
          <w:tcPr>
            <w:tcW w:w="1439" w:type="dxa"/>
          </w:tcPr>
          <w:p w14:paraId="0BFA1DDD" w14:textId="77777777" w:rsidR="00EF74C3" w:rsidRPr="00EF74C3" w:rsidRDefault="00EF74C3" w:rsidP="00454805">
            <w:pPr>
              <w:spacing w:before="173" w:line="226" w:lineRule="auto"/>
              <w:ind w:left="383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4"/>
                <w:sz w:val="24"/>
              </w:rPr>
              <w:t>1</w:t>
            </w: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 xml:space="preserve">.4 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万元</w:t>
            </w:r>
          </w:p>
        </w:tc>
        <w:tc>
          <w:tcPr>
            <w:tcW w:w="2895" w:type="dxa"/>
          </w:tcPr>
          <w:p w14:paraId="15585897" w14:textId="77777777" w:rsidR="00EF74C3" w:rsidRPr="00EF74C3" w:rsidRDefault="00EF74C3" w:rsidP="00454805">
            <w:pPr>
              <w:spacing w:before="173" w:line="226" w:lineRule="auto"/>
              <w:ind w:left="1047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4"/>
                <w:sz w:val="24"/>
              </w:rPr>
              <w:t>1</w:t>
            </w: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 xml:space="preserve">.2 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万元</w:t>
            </w:r>
          </w:p>
        </w:tc>
      </w:tr>
      <w:tr w:rsidR="00EF74C3" w14:paraId="79EB35A2" w14:textId="77777777" w:rsidTr="00EF74C3">
        <w:trPr>
          <w:trHeight w:val="586"/>
          <w:jc w:val="center"/>
        </w:trPr>
        <w:tc>
          <w:tcPr>
            <w:tcW w:w="1708" w:type="dxa"/>
          </w:tcPr>
          <w:p w14:paraId="5BB8C826" w14:textId="77777777" w:rsidR="00EF74C3" w:rsidRPr="00EF74C3" w:rsidRDefault="00EF74C3" w:rsidP="00454805">
            <w:pPr>
              <w:spacing w:before="171" w:line="227" w:lineRule="auto"/>
              <w:ind w:left="391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>66</w:t>
            </w:r>
            <w:r w:rsidRPr="00EF74C3">
              <w:rPr>
                <w:rFonts w:asciiTheme="minorEastAsia" w:hAnsiTheme="minorEastAsia" w:cs="宋体" w:hint="eastAsia"/>
                <w:spacing w:val="-15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 xml:space="preserve">125 </w:t>
            </w:r>
            <w:r w:rsidRPr="00EF74C3">
              <w:rPr>
                <w:rFonts w:asciiTheme="minorEastAsia" w:hAnsiTheme="minorEastAsia" w:cs="宋体" w:hint="eastAsia"/>
                <w:spacing w:val="-15"/>
                <w:sz w:val="24"/>
              </w:rPr>
              <w:t>人</w:t>
            </w:r>
          </w:p>
        </w:tc>
        <w:tc>
          <w:tcPr>
            <w:tcW w:w="1703" w:type="dxa"/>
          </w:tcPr>
          <w:p w14:paraId="5AE34387" w14:textId="77777777" w:rsidR="00EF74C3" w:rsidRPr="00EF74C3" w:rsidRDefault="00EF74C3" w:rsidP="00454805">
            <w:pPr>
              <w:spacing w:before="171" w:line="226" w:lineRule="auto"/>
              <w:ind w:left="462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 xml:space="preserve">1.8 </w:t>
            </w:r>
            <w:r w:rsidRPr="00EF74C3">
              <w:rPr>
                <w:rFonts w:asciiTheme="minorEastAsia" w:hAnsiTheme="minorEastAsia" w:cs="宋体" w:hint="eastAsia"/>
                <w:spacing w:val="-20"/>
                <w:sz w:val="24"/>
              </w:rPr>
              <w:t>万</w:t>
            </w:r>
            <w:r w:rsidRPr="00EF74C3">
              <w:rPr>
                <w:rFonts w:asciiTheme="minorEastAsia" w:hAnsiTheme="minorEastAsia" w:cs="宋体" w:hint="eastAsia"/>
                <w:spacing w:val="-19"/>
                <w:sz w:val="24"/>
              </w:rPr>
              <w:t>元</w:t>
            </w:r>
          </w:p>
        </w:tc>
        <w:tc>
          <w:tcPr>
            <w:tcW w:w="1379" w:type="dxa"/>
          </w:tcPr>
          <w:p w14:paraId="5BA27732" w14:textId="77777777" w:rsidR="00EF74C3" w:rsidRPr="00EF74C3" w:rsidRDefault="00EF74C3" w:rsidP="00454805">
            <w:pPr>
              <w:spacing w:before="171" w:line="226" w:lineRule="auto"/>
              <w:ind w:left="338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.5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439" w:type="dxa"/>
          </w:tcPr>
          <w:p w14:paraId="02C39B40" w14:textId="77777777" w:rsidR="00EF74C3" w:rsidRPr="00EF74C3" w:rsidRDefault="00EF74C3" w:rsidP="00454805">
            <w:pPr>
              <w:spacing w:before="171" w:line="226" w:lineRule="auto"/>
              <w:ind w:left="369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.3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2895" w:type="dxa"/>
          </w:tcPr>
          <w:p w14:paraId="252790D0" w14:textId="77777777" w:rsidR="00EF74C3" w:rsidRPr="00EF74C3" w:rsidRDefault="00EF74C3" w:rsidP="00454805">
            <w:pPr>
              <w:spacing w:before="171" w:line="226" w:lineRule="auto"/>
              <w:ind w:left="1033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.1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</w:tr>
      <w:tr w:rsidR="00EF74C3" w14:paraId="3A99E176" w14:textId="77777777" w:rsidTr="00EF74C3">
        <w:trPr>
          <w:trHeight w:val="586"/>
          <w:jc w:val="center"/>
        </w:trPr>
        <w:tc>
          <w:tcPr>
            <w:tcW w:w="1708" w:type="dxa"/>
          </w:tcPr>
          <w:p w14:paraId="4F756FED" w14:textId="77777777" w:rsidR="00EF74C3" w:rsidRPr="00EF74C3" w:rsidRDefault="00EF74C3" w:rsidP="00454805">
            <w:pPr>
              <w:spacing w:before="172" w:line="227" w:lineRule="auto"/>
              <w:ind w:left="352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>1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>26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275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人</w:t>
            </w:r>
          </w:p>
        </w:tc>
        <w:tc>
          <w:tcPr>
            <w:tcW w:w="1703" w:type="dxa"/>
          </w:tcPr>
          <w:p w14:paraId="6753BC79" w14:textId="77777777" w:rsidR="00EF74C3" w:rsidRPr="00EF74C3" w:rsidRDefault="00EF74C3" w:rsidP="00454805">
            <w:pPr>
              <w:spacing w:before="172" w:line="226" w:lineRule="auto"/>
              <w:ind w:left="448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.1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379" w:type="dxa"/>
          </w:tcPr>
          <w:p w14:paraId="127264F2" w14:textId="77777777" w:rsidR="00EF74C3" w:rsidRPr="00EF74C3" w:rsidRDefault="00EF74C3" w:rsidP="00454805">
            <w:pPr>
              <w:spacing w:before="172" w:line="226" w:lineRule="auto"/>
              <w:ind w:left="34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.0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439" w:type="dxa"/>
          </w:tcPr>
          <w:p w14:paraId="49975C79" w14:textId="77777777" w:rsidR="00EF74C3" w:rsidRPr="00EF74C3" w:rsidRDefault="00EF74C3" w:rsidP="00454805">
            <w:pPr>
              <w:spacing w:before="172" w:line="226" w:lineRule="auto"/>
              <w:ind w:left="369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.8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2895" w:type="dxa"/>
          </w:tcPr>
          <w:p w14:paraId="4EC36F83" w14:textId="77777777" w:rsidR="00EF74C3" w:rsidRPr="00EF74C3" w:rsidRDefault="00EF74C3" w:rsidP="00454805">
            <w:pPr>
              <w:spacing w:before="172" w:line="226" w:lineRule="auto"/>
              <w:ind w:left="1033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</w:tr>
      <w:tr w:rsidR="00EF74C3" w14:paraId="3EDB0C00" w14:textId="77777777" w:rsidTr="00EF74C3">
        <w:trPr>
          <w:trHeight w:val="588"/>
          <w:jc w:val="center"/>
        </w:trPr>
        <w:tc>
          <w:tcPr>
            <w:tcW w:w="1708" w:type="dxa"/>
          </w:tcPr>
          <w:p w14:paraId="3C6B42C9" w14:textId="77777777" w:rsidR="00EF74C3" w:rsidRPr="00EF74C3" w:rsidRDefault="00EF74C3" w:rsidP="00454805">
            <w:pPr>
              <w:spacing w:before="173" w:line="227" w:lineRule="auto"/>
              <w:ind w:left="337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8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4"/>
                <w:sz w:val="24"/>
              </w:rPr>
              <w:t>76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4"/>
                <w:sz w:val="24"/>
              </w:rPr>
              <w:t xml:space="preserve">625 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人</w:t>
            </w:r>
          </w:p>
        </w:tc>
        <w:tc>
          <w:tcPr>
            <w:tcW w:w="1703" w:type="dxa"/>
          </w:tcPr>
          <w:p w14:paraId="79EDE777" w14:textId="77777777" w:rsidR="00EF74C3" w:rsidRPr="00EF74C3" w:rsidRDefault="00EF74C3" w:rsidP="00454805">
            <w:pPr>
              <w:spacing w:before="174" w:line="226" w:lineRule="auto"/>
              <w:ind w:left="448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.8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379" w:type="dxa"/>
          </w:tcPr>
          <w:p w14:paraId="36D5C741" w14:textId="77777777" w:rsidR="00EF74C3" w:rsidRPr="00EF74C3" w:rsidRDefault="00EF74C3" w:rsidP="00454805">
            <w:pPr>
              <w:spacing w:before="174" w:line="226" w:lineRule="auto"/>
              <w:ind w:left="34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.8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439" w:type="dxa"/>
          </w:tcPr>
          <w:p w14:paraId="4249C861" w14:textId="77777777" w:rsidR="00EF74C3" w:rsidRPr="00EF74C3" w:rsidRDefault="00EF74C3" w:rsidP="00454805">
            <w:pPr>
              <w:spacing w:before="174" w:line="226" w:lineRule="auto"/>
              <w:ind w:left="371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2895" w:type="dxa"/>
          </w:tcPr>
          <w:p w14:paraId="2398FAD2" w14:textId="77777777" w:rsidR="00EF74C3" w:rsidRPr="00EF74C3" w:rsidRDefault="00EF74C3" w:rsidP="00454805">
            <w:pPr>
              <w:spacing w:before="174" w:line="226" w:lineRule="auto"/>
              <w:ind w:left="1035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.4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</w:tr>
      <w:tr w:rsidR="00EF74C3" w14:paraId="20F1BDC1" w14:textId="77777777" w:rsidTr="00EF74C3">
        <w:trPr>
          <w:trHeight w:val="586"/>
          <w:jc w:val="center"/>
        </w:trPr>
        <w:tc>
          <w:tcPr>
            <w:tcW w:w="1708" w:type="dxa"/>
          </w:tcPr>
          <w:p w14:paraId="7468414D" w14:textId="77777777" w:rsidR="00EF74C3" w:rsidRPr="00EF74C3" w:rsidRDefault="00EF74C3" w:rsidP="00454805">
            <w:pPr>
              <w:spacing w:before="172" w:line="227" w:lineRule="auto"/>
              <w:ind w:left="224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4"/>
                <w:sz w:val="24"/>
              </w:rPr>
              <w:t>626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4"/>
                <w:sz w:val="24"/>
              </w:rPr>
              <w:t xml:space="preserve">1175 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人</w:t>
            </w:r>
          </w:p>
        </w:tc>
        <w:tc>
          <w:tcPr>
            <w:tcW w:w="1703" w:type="dxa"/>
          </w:tcPr>
          <w:p w14:paraId="5E9E16FD" w14:textId="77777777" w:rsidR="00EF74C3" w:rsidRPr="00EF74C3" w:rsidRDefault="00EF74C3" w:rsidP="00454805">
            <w:pPr>
              <w:spacing w:before="172" w:line="226" w:lineRule="auto"/>
              <w:ind w:left="448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.2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379" w:type="dxa"/>
          </w:tcPr>
          <w:p w14:paraId="71E4D707" w14:textId="77777777" w:rsidR="00EF74C3" w:rsidRPr="00EF74C3" w:rsidRDefault="00EF74C3" w:rsidP="00454805">
            <w:pPr>
              <w:spacing w:before="172" w:line="226" w:lineRule="auto"/>
              <w:ind w:left="333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4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  <w:tc>
          <w:tcPr>
            <w:tcW w:w="1439" w:type="dxa"/>
          </w:tcPr>
          <w:p w14:paraId="731A0FB1" w14:textId="77777777" w:rsidR="00EF74C3" w:rsidRPr="00EF74C3" w:rsidRDefault="00EF74C3" w:rsidP="00454805">
            <w:pPr>
              <w:spacing w:before="172" w:line="226" w:lineRule="auto"/>
              <w:ind w:left="364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4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.3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  <w:tc>
          <w:tcPr>
            <w:tcW w:w="2895" w:type="dxa"/>
          </w:tcPr>
          <w:p w14:paraId="49D8E5B9" w14:textId="77777777" w:rsidR="00EF74C3" w:rsidRPr="00EF74C3" w:rsidRDefault="00EF74C3" w:rsidP="00454805">
            <w:pPr>
              <w:spacing w:before="172" w:line="226" w:lineRule="auto"/>
              <w:ind w:left="1028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0"/>
                <w:sz w:val="24"/>
              </w:rPr>
              <w:t>4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.0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</w:tr>
      <w:tr w:rsidR="00EF74C3" w14:paraId="60E788D0" w14:textId="77777777" w:rsidTr="00EF74C3">
        <w:trPr>
          <w:trHeight w:val="586"/>
          <w:jc w:val="center"/>
        </w:trPr>
        <w:tc>
          <w:tcPr>
            <w:tcW w:w="1708" w:type="dxa"/>
          </w:tcPr>
          <w:p w14:paraId="75095CE4" w14:textId="77777777" w:rsidR="00EF74C3" w:rsidRPr="00EF74C3" w:rsidRDefault="00EF74C3" w:rsidP="00454805">
            <w:pPr>
              <w:spacing w:before="173" w:line="227" w:lineRule="auto"/>
              <w:ind w:left="185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>1176</w:t>
            </w:r>
            <w:r w:rsidRPr="00EF74C3">
              <w:rPr>
                <w:rFonts w:asciiTheme="minorEastAsia" w:hAnsiTheme="minorEastAsia" w:cs="宋体" w:hint="eastAsia"/>
                <w:spacing w:val="-15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 xml:space="preserve">1550 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人</w:t>
            </w:r>
          </w:p>
        </w:tc>
        <w:tc>
          <w:tcPr>
            <w:tcW w:w="1703" w:type="dxa"/>
          </w:tcPr>
          <w:p w14:paraId="033D977C" w14:textId="77777777" w:rsidR="00EF74C3" w:rsidRPr="00EF74C3" w:rsidRDefault="00EF74C3" w:rsidP="00454805">
            <w:pPr>
              <w:spacing w:before="173" w:line="226" w:lineRule="auto"/>
              <w:ind w:left="45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3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379" w:type="dxa"/>
          </w:tcPr>
          <w:p w14:paraId="6CE91EE0" w14:textId="77777777" w:rsidR="00EF74C3" w:rsidRPr="00EF74C3" w:rsidRDefault="00EF74C3" w:rsidP="00454805">
            <w:pPr>
              <w:spacing w:before="173" w:line="226" w:lineRule="auto"/>
              <w:ind w:left="34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5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.4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439" w:type="dxa"/>
          </w:tcPr>
          <w:p w14:paraId="4652655F" w14:textId="77777777" w:rsidR="00EF74C3" w:rsidRPr="00EF74C3" w:rsidRDefault="00EF74C3" w:rsidP="00454805">
            <w:pPr>
              <w:spacing w:before="173" w:line="226" w:lineRule="auto"/>
              <w:ind w:left="37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5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.1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2895" w:type="dxa"/>
          </w:tcPr>
          <w:p w14:paraId="6207D0F1" w14:textId="77777777" w:rsidR="00EF74C3" w:rsidRPr="00EF74C3" w:rsidRDefault="00EF74C3" w:rsidP="00454805">
            <w:pPr>
              <w:spacing w:before="173" w:line="226" w:lineRule="auto"/>
              <w:ind w:left="1029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4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.8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</w:tr>
      <w:tr w:rsidR="00EF74C3" w14:paraId="6BA80021" w14:textId="77777777" w:rsidTr="00EF74C3">
        <w:trPr>
          <w:trHeight w:val="587"/>
          <w:jc w:val="center"/>
        </w:trPr>
        <w:tc>
          <w:tcPr>
            <w:tcW w:w="1708" w:type="dxa"/>
          </w:tcPr>
          <w:p w14:paraId="2D78768B" w14:textId="77777777" w:rsidR="00EF74C3" w:rsidRPr="00EF74C3" w:rsidRDefault="00EF74C3" w:rsidP="00454805">
            <w:pPr>
              <w:spacing w:before="174" w:line="227" w:lineRule="auto"/>
              <w:ind w:left="133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>1551</w:t>
            </w:r>
            <w:r w:rsidRPr="00EF74C3">
              <w:rPr>
                <w:rFonts w:asciiTheme="minorEastAsia" w:hAnsiTheme="minorEastAsia" w:cs="宋体" w:hint="eastAsia"/>
                <w:spacing w:val="-15"/>
                <w:sz w:val="24"/>
              </w:rPr>
              <w:t>－</w:t>
            </w:r>
            <w:r w:rsidRPr="00EF74C3">
              <w:rPr>
                <w:rFonts w:asciiTheme="minorEastAsia" w:hAnsiTheme="minorEastAsia" w:cs="FangSong"/>
                <w:spacing w:val="-15"/>
                <w:sz w:val="24"/>
              </w:rPr>
              <w:t xml:space="preserve">2000 </w:t>
            </w:r>
            <w:r w:rsidRPr="00EF74C3">
              <w:rPr>
                <w:rFonts w:asciiTheme="minorEastAsia" w:hAnsiTheme="minorEastAsia" w:cs="宋体" w:hint="eastAsia"/>
                <w:spacing w:val="-14"/>
                <w:sz w:val="24"/>
              </w:rPr>
              <w:t>人</w:t>
            </w:r>
          </w:p>
        </w:tc>
        <w:tc>
          <w:tcPr>
            <w:tcW w:w="1703" w:type="dxa"/>
          </w:tcPr>
          <w:p w14:paraId="01688A51" w14:textId="77777777" w:rsidR="00EF74C3" w:rsidRPr="00EF74C3" w:rsidRDefault="00EF74C3" w:rsidP="00454805">
            <w:pPr>
              <w:spacing w:before="175" w:line="226" w:lineRule="auto"/>
              <w:ind w:left="444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4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.0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  <w:tc>
          <w:tcPr>
            <w:tcW w:w="1379" w:type="dxa"/>
          </w:tcPr>
          <w:p w14:paraId="228EF468" w14:textId="77777777" w:rsidR="00EF74C3" w:rsidRPr="00EF74C3" w:rsidRDefault="00EF74C3" w:rsidP="00454805">
            <w:pPr>
              <w:spacing w:before="175" w:line="226" w:lineRule="auto"/>
              <w:ind w:left="227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19"/>
                <w:sz w:val="24"/>
              </w:rPr>
              <w:t>6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.2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1439" w:type="dxa"/>
          </w:tcPr>
          <w:p w14:paraId="61430F59" w14:textId="77777777" w:rsidR="00EF74C3" w:rsidRPr="00EF74C3" w:rsidRDefault="00EF74C3" w:rsidP="00454805">
            <w:pPr>
              <w:spacing w:before="175" w:line="226" w:lineRule="auto"/>
              <w:ind w:left="23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5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.9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  <w:tc>
          <w:tcPr>
            <w:tcW w:w="2895" w:type="dxa"/>
          </w:tcPr>
          <w:p w14:paraId="64B0BF4E" w14:textId="77777777" w:rsidR="00EF74C3" w:rsidRPr="00EF74C3" w:rsidRDefault="00EF74C3" w:rsidP="00454805">
            <w:pPr>
              <w:spacing w:before="175" w:line="226" w:lineRule="auto"/>
              <w:ind w:left="1035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5</w:t>
            </w:r>
            <w:r w:rsidRPr="00EF74C3">
              <w:rPr>
                <w:rFonts w:asciiTheme="minorEastAsia" w:hAnsiTheme="minorEastAsia" w:cs="FangSong"/>
                <w:spacing w:val="-17"/>
                <w:sz w:val="24"/>
              </w:rPr>
              <w:t xml:space="preserve">.6 </w:t>
            </w:r>
            <w:r w:rsidRPr="00EF74C3">
              <w:rPr>
                <w:rFonts w:asciiTheme="minorEastAsia" w:hAnsiTheme="minorEastAsia" w:cs="宋体" w:hint="eastAsia"/>
                <w:spacing w:val="-17"/>
                <w:sz w:val="24"/>
              </w:rPr>
              <w:t>万元</w:t>
            </w:r>
          </w:p>
        </w:tc>
      </w:tr>
      <w:tr w:rsidR="00EF74C3" w14:paraId="7C4528A5" w14:textId="77777777" w:rsidTr="00EF74C3">
        <w:trPr>
          <w:trHeight w:val="591"/>
          <w:jc w:val="center"/>
        </w:trPr>
        <w:tc>
          <w:tcPr>
            <w:tcW w:w="1708" w:type="dxa"/>
          </w:tcPr>
          <w:p w14:paraId="2719E84D" w14:textId="77777777" w:rsidR="00EF74C3" w:rsidRPr="00EF74C3" w:rsidRDefault="00EF74C3" w:rsidP="00454805">
            <w:pPr>
              <w:spacing w:before="175" w:line="225" w:lineRule="auto"/>
              <w:ind w:left="230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FangSong"/>
                <w:spacing w:val="-21"/>
                <w:sz w:val="24"/>
              </w:rPr>
              <w:t>2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001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人以上</w:t>
            </w:r>
          </w:p>
        </w:tc>
        <w:tc>
          <w:tcPr>
            <w:tcW w:w="7416" w:type="dxa"/>
            <w:gridSpan w:val="4"/>
          </w:tcPr>
          <w:p w14:paraId="27F1A49F" w14:textId="77777777" w:rsidR="00EF74C3" w:rsidRPr="00EF74C3" w:rsidRDefault="00EF74C3" w:rsidP="00454805">
            <w:pPr>
              <w:spacing w:before="175" w:line="222" w:lineRule="auto"/>
              <w:ind w:left="1149"/>
              <w:rPr>
                <w:rFonts w:asciiTheme="minorEastAsia" w:hAnsiTheme="minorEastAsia" w:cs="FangSong"/>
                <w:sz w:val="24"/>
              </w:rPr>
            </w:pPr>
            <w:r w:rsidRPr="00EF74C3">
              <w:rPr>
                <w:rFonts w:asciiTheme="minorEastAsia" w:hAnsiTheme="minorEastAsia" w:cs="宋体" w:hint="eastAsia"/>
                <w:spacing w:val="-20"/>
                <w:sz w:val="24"/>
              </w:rPr>
              <w:t>每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增加一个审核人日，认证收费最少增加</w:t>
            </w:r>
            <w:r w:rsidRPr="00EF74C3">
              <w:rPr>
                <w:rFonts w:asciiTheme="minorEastAsia" w:hAnsiTheme="minorEastAsia" w:cs="FangSong"/>
                <w:spacing w:val="-16"/>
                <w:sz w:val="24"/>
              </w:rPr>
              <w:t xml:space="preserve">0.24 </w:t>
            </w:r>
            <w:r w:rsidRPr="00EF74C3">
              <w:rPr>
                <w:rFonts w:asciiTheme="minorEastAsia" w:hAnsiTheme="minorEastAsia" w:cs="宋体" w:hint="eastAsia"/>
                <w:spacing w:val="-16"/>
                <w:sz w:val="24"/>
              </w:rPr>
              <w:t>万元</w:t>
            </w:r>
          </w:p>
        </w:tc>
      </w:tr>
    </w:tbl>
    <w:p w14:paraId="197385EC" w14:textId="79E4E2B9" w:rsidR="00EF74C3" w:rsidRPr="00EF74C3" w:rsidRDefault="00EF74C3" w:rsidP="00EF74C3">
      <w:pPr>
        <w:pStyle w:val="a7"/>
        <w:numPr>
          <w:ilvl w:val="0"/>
          <w:numId w:val="12"/>
        </w:numPr>
        <w:spacing w:beforeLines="50" w:before="156" w:afterLines="50" w:after="156" w:line="360" w:lineRule="exact"/>
        <w:ind w:left="0" w:firstLine="480"/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</w:pP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监督审核的基础价格为相应初审基础价格的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 xml:space="preserve"> 1/3</w:t>
      </w: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；再认证的基础价格为相应初审基础价格的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>2/3</w:t>
      </w: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。</w:t>
      </w:r>
    </w:p>
    <w:p w14:paraId="7FE57A2F" w14:textId="2754C3B6" w:rsidR="00EF74C3" w:rsidRDefault="00EF74C3" w:rsidP="00EF74C3">
      <w:pPr>
        <w:pStyle w:val="a7"/>
        <w:numPr>
          <w:ilvl w:val="0"/>
          <w:numId w:val="12"/>
        </w:numPr>
        <w:spacing w:beforeLines="50" w:before="156" w:afterLines="50" w:after="156" w:line="360" w:lineRule="exact"/>
        <w:ind w:left="0" w:firstLine="480"/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</w:pP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两体系结合审核的基础价格为相应的两个单体</w:t>
      </w:r>
      <w:proofErr w:type="gramStart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系基础</w:t>
      </w:r>
      <w:proofErr w:type="gramEnd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价格之和的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>75%</w:t>
      </w: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；三体系及以上结合审核的基础价格为相应的若干单体</w:t>
      </w:r>
      <w:proofErr w:type="gramStart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系基础</w:t>
      </w:r>
      <w:proofErr w:type="gramEnd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价格之和的</w:t>
      </w:r>
      <w:r w:rsidRPr="00EF74C3"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  <w:t>65%</w:t>
      </w:r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。</w:t>
      </w:r>
    </w:p>
    <w:p w14:paraId="5441DCEA" w14:textId="7ABEEDE4" w:rsidR="00EC5419" w:rsidRPr="00EF74C3" w:rsidRDefault="00EC5419" w:rsidP="00EF74C3">
      <w:pPr>
        <w:pStyle w:val="a7"/>
        <w:numPr>
          <w:ilvl w:val="0"/>
          <w:numId w:val="12"/>
        </w:numPr>
        <w:spacing w:beforeLines="50" w:before="156" w:afterLines="50" w:after="156" w:line="360" w:lineRule="exact"/>
        <w:ind w:left="0" w:firstLine="480"/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HACCP体系和多体系结合时，按基础价格计算，不涉及折扣价格。</w:t>
      </w:r>
    </w:p>
    <w:p w14:paraId="218D59E8" w14:textId="42A596C2" w:rsidR="00EF74C3" w:rsidRPr="00EF74C3" w:rsidRDefault="00EF74C3" w:rsidP="00EF74C3">
      <w:pPr>
        <w:pStyle w:val="a7"/>
        <w:numPr>
          <w:ilvl w:val="0"/>
          <w:numId w:val="12"/>
        </w:numPr>
        <w:spacing w:beforeLines="50" w:before="156" w:afterLines="50" w:after="156" w:line="360" w:lineRule="exact"/>
        <w:ind w:left="0" w:firstLine="480"/>
        <w:rPr>
          <w:rFonts w:asciiTheme="minorEastAsia" w:hAnsiTheme="minorEastAsia" w:cstheme="minorEastAsia"/>
          <w:color w:val="333333"/>
          <w:kern w:val="0"/>
          <w:sz w:val="24"/>
          <w:shd w:val="clear" w:color="auto" w:fill="FFFFFF"/>
        </w:rPr>
      </w:pPr>
      <w:proofErr w:type="gramStart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本基础</w:t>
      </w:r>
      <w:proofErr w:type="gramEnd"/>
      <w:r w:rsidRPr="00EF74C3">
        <w:rPr>
          <w:rFonts w:asciiTheme="minorEastAsia" w:hAnsiTheme="minorEastAsia" w:cstheme="minorEastAsia" w:hint="eastAsia"/>
          <w:color w:val="333333"/>
          <w:kern w:val="0"/>
          <w:sz w:val="24"/>
          <w:shd w:val="clear" w:color="auto" w:fill="FFFFFF"/>
        </w:rPr>
        <w:t>价格为认证费总价，不含交通费和食宿费。</w:t>
      </w:r>
      <w:bookmarkStart w:id="0" w:name="_GoBack"/>
      <w:bookmarkEnd w:id="0"/>
    </w:p>
    <w:p w14:paraId="615ACD13" w14:textId="77777777" w:rsidR="00C31CC6" w:rsidRPr="00EF74C3" w:rsidRDefault="00C31CC6">
      <w:pPr>
        <w:spacing w:line="360" w:lineRule="auto"/>
        <w:rPr>
          <w:rFonts w:asciiTheme="minorEastAsia" w:hAnsiTheme="minorEastAsia" w:cstheme="minorEastAsia"/>
          <w:sz w:val="24"/>
        </w:rPr>
      </w:pPr>
    </w:p>
    <w:sectPr w:rsidR="00C31CC6" w:rsidRPr="00EF74C3" w:rsidSect="00EF74C3">
      <w:footerReference w:type="default" r:id="rId9"/>
      <w:pgSz w:w="11906" w:h="16838"/>
      <w:pgMar w:top="1440" w:right="1080" w:bottom="1276" w:left="1080" w:header="73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09603" w14:textId="77777777" w:rsidR="00B977FB" w:rsidRDefault="00B977FB">
      <w:r>
        <w:separator/>
      </w:r>
    </w:p>
  </w:endnote>
  <w:endnote w:type="continuationSeparator" w:id="0">
    <w:p w14:paraId="72B194BF" w14:textId="77777777" w:rsidR="00B977FB" w:rsidRDefault="00B9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886BF" w14:textId="77777777" w:rsidR="00C31CC6" w:rsidRDefault="00B11A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5A892A" wp14:editId="274CDE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5C68A" w14:textId="77777777" w:rsidR="00C31CC6" w:rsidRDefault="00B11AB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C541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14:paraId="4B05C68A" w14:textId="77777777" w:rsidR="00C31CC6" w:rsidRDefault="00B11AB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C541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75739" w14:textId="77777777" w:rsidR="00B977FB" w:rsidRDefault="00B977FB">
      <w:r>
        <w:separator/>
      </w:r>
    </w:p>
  </w:footnote>
  <w:footnote w:type="continuationSeparator" w:id="0">
    <w:p w14:paraId="0CC31A79" w14:textId="77777777" w:rsidR="00B977FB" w:rsidRDefault="00B9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D9976"/>
    <w:multiLevelType w:val="singleLevel"/>
    <w:tmpl w:val="B49D9976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abstractNum w:abstractNumId="1">
    <w:nsid w:val="029F2BFA"/>
    <w:multiLevelType w:val="hybridMultilevel"/>
    <w:tmpl w:val="DB085AEC"/>
    <w:lvl w:ilvl="0" w:tplc="61A0B170">
      <w:start w:val="1"/>
      <w:numFmt w:val="decimal"/>
      <w:lvlText w:val="5.%1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3BE4066"/>
    <w:multiLevelType w:val="hybridMultilevel"/>
    <w:tmpl w:val="8294DE52"/>
    <w:lvl w:ilvl="0" w:tplc="61A0B170">
      <w:start w:val="1"/>
      <w:numFmt w:val="decimal"/>
      <w:lvlText w:val="5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90A05C"/>
    <w:multiLevelType w:val="singleLevel"/>
    <w:tmpl w:val="0B90A05C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abstractNum w:abstractNumId="4">
    <w:nsid w:val="0FEA30C1"/>
    <w:multiLevelType w:val="singleLevel"/>
    <w:tmpl w:val="8FB0CC6C"/>
    <w:lvl w:ilvl="0">
      <w:start w:val="1"/>
      <w:numFmt w:val="decimal"/>
      <w:lvlText w:val="2.%1"/>
      <w:lvlJc w:val="left"/>
      <w:pPr>
        <w:ind w:left="1140" w:hanging="420"/>
      </w:pPr>
      <w:rPr>
        <w:rFonts w:hint="eastAsia"/>
      </w:rPr>
    </w:lvl>
  </w:abstractNum>
  <w:abstractNum w:abstractNumId="5">
    <w:nsid w:val="211437AB"/>
    <w:multiLevelType w:val="hybridMultilevel"/>
    <w:tmpl w:val="B10C88EC"/>
    <w:lvl w:ilvl="0" w:tplc="AFB66BF8">
      <w:start w:val="1"/>
      <w:numFmt w:val="chineseCountingThousand"/>
      <w:lvlText w:val="%1、"/>
      <w:lvlJc w:val="left"/>
      <w:pPr>
        <w:ind w:left="658" w:hanging="420"/>
      </w:pPr>
    </w:lvl>
    <w:lvl w:ilvl="1" w:tplc="73AE4362" w:tentative="1">
      <w:start w:val="1"/>
      <w:numFmt w:val="lowerLetter"/>
      <w:lvlText w:val="%2)"/>
      <w:lvlJc w:val="left"/>
      <w:pPr>
        <w:ind w:left="1078" w:hanging="420"/>
      </w:pPr>
    </w:lvl>
    <w:lvl w:ilvl="2" w:tplc="9146A3F6" w:tentative="1">
      <w:start w:val="1"/>
      <w:numFmt w:val="lowerRoman"/>
      <w:lvlText w:val="%3."/>
      <w:lvlJc w:val="right"/>
      <w:pPr>
        <w:ind w:left="1498" w:hanging="420"/>
      </w:pPr>
    </w:lvl>
    <w:lvl w:ilvl="3" w:tplc="89806D0E" w:tentative="1">
      <w:start w:val="1"/>
      <w:numFmt w:val="decimal"/>
      <w:lvlText w:val="%4."/>
      <w:lvlJc w:val="left"/>
      <w:pPr>
        <w:ind w:left="1918" w:hanging="420"/>
      </w:pPr>
    </w:lvl>
    <w:lvl w:ilvl="4" w:tplc="3FA88B4C" w:tentative="1">
      <w:start w:val="1"/>
      <w:numFmt w:val="lowerLetter"/>
      <w:lvlText w:val="%5)"/>
      <w:lvlJc w:val="left"/>
      <w:pPr>
        <w:ind w:left="2338" w:hanging="420"/>
      </w:pPr>
    </w:lvl>
    <w:lvl w:ilvl="5" w:tplc="60B21004" w:tentative="1">
      <w:start w:val="1"/>
      <w:numFmt w:val="lowerRoman"/>
      <w:lvlText w:val="%6."/>
      <w:lvlJc w:val="right"/>
      <w:pPr>
        <w:ind w:left="2758" w:hanging="420"/>
      </w:pPr>
    </w:lvl>
    <w:lvl w:ilvl="6" w:tplc="C07A9CD2" w:tentative="1">
      <w:start w:val="1"/>
      <w:numFmt w:val="decimal"/>
      <w:lvlText w:val="%7."/>
      <w:lvlJc w:val="left"/>
      <w:pPr>
        <w:ind w:left="3178" w:hanging="420"/>
      </w:pPr>
    </w:lvl>
    <w:lvl w:ilvl="7" w:tplc="957645D8" w:tentative="1">
      <w:start w:val="1"/>
      <w:numFmt w:val="lowerLetter"/>
      <w:lvlText w:val="%8)"/>
      <w:lvlJc w:val="left"/>
      <w:pPr>
        <w:ind w:left="3598" w:hanging="420"/>
      </w:pPr>
    </w:lvl>
    <w:lvl w:ilvl="8" w:tplc="BC9C2482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6">
    <w:nsid w:val="2E81526F"/>
    <w:multiLevelType w:val="multilevel"/>
    <w:tmpl w:val="5066E514"/>
    <w:lvl w:ilvl="0">
      <w:start w:val="1"/>
      <w:numFmt w:val="decimal"/>
      <w:lvlText w:val="1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415344D"/>
    <w:multiLevelType w:val="hybridMultilevel"/>
    <w:tmpl w:val="E2243A70"/>
    <w:lvl w:ilvl="0" w:tplc="4412DD46">
      <w:start w:val="1"/>
      <w:numFmt w:val="decimal"/>
      <w:lvlText w:val="3.%1"/>
      <w:lvlJc w:val="left"/>
      <w:pPr>
        <w:ind w:left="1860" w:hanging="420"/>
      </w:pPr>
      <w:rPr>
        <w:rFonts w:hint="eastAsia"/>
      </w:rPr>
    </w:lvl>
    <w:lvl w:ilvl="1" w:tplc="0D7EFE7A">
      <w:start w:val="1"/>
      <w:numFmt w:val="decimal"/>
      <w:lvlText w:val="3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B058C0"/>
    <w:multiLevelType w:val="multilevel"/>
    <w:tmpl w:val="4A9EF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4E0843DA"/>
    <w:multiLevelType w:val="hybridMultilevel"/>
    <w:tmpl w:val="90C2FBF4"/>
    <w:lvl w:ilvl="0" w:tplc="918E9D0E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90BAD864" w:tentative="1">
      <w:start w:val="1"/>
      <w:numFmt w:val="lowerLetter"/>
      <w:lvlText w:val="%2)"/>
      <w:lvlJc w:val="left"/>
      <w:pPr>
        <w:ind w:left="1320" w:hanging="420"/>
      </w:pPr>
    </w:lvl>
    <w:lvl w:ilvl="2" w:tplc="2766F9A8" w:tentative="1">
      <w:start w:val="1"/>
      <w:numFmt w:val="lowerRoman"/>
      <w:lvlText w:val="%3."/>
      <w:lvlJc w:val="right"/>
      <w:pPr>
        <w:ind w:left="1740" w:hanging="420"/>
      </w:pPr>
    </w:lvl>
    <w:lvl w:ilvl="3" w:tplc="3288DC6C" w:tentative="1">
      <w:start w:val="1"/>
      <w:numFmt w:val="decimal"/>
      <w:lvlText w:val="%4."/>
      <w:lvlJc w:val="left"/>
      <w:pPr>
        <w:ind w:left="2160" w:hanging="420"/>
      </w:pPr>
    </w:lvl>
    <w:lvl w:ilvl="4" w:tplc="CF3A9EA6" w:tentative="1">
      <w:start w:val="1"/>
      <w:numFmt w:val="lowerLetter"/>
      <w:lvlText w:val="%5)"/>
      <w:lvlJc w:val="left"/>
      <w:pPr>
        <w:ind w:left="2580" w:hanging="420"/>
      </w:pPr>
    </w:lvl>
    <w:lvl w:ilvl="5" w:tplc="F4D2D4EA" w:tentative="1">
      <w:start w:val="1"/>
      <w:numFmt w:val="lowerRoman"/>
      <w:lvlText w:val="%6."/>
      <w:lvlJc w:val="right"/>
      <w:pPr>
        <w:ind w:left="3000" w:hanging="420"/>
      </w:pPr>
    </w:lvl>
    <w:lvl w:ilvl="6" w:tplc="9A924C06" w:tentative="1">
      <w:start w:val="1"/>
      <w:numFmt w:val="decimal"/>
      <w:lvlText w:val="%7."/>
      <w:lvlJc w:val="left"/>
      <w:pPr>
        <w:ind w:left="3420" w:hanging="420"/>
      </w:pPr>
    </w:lvl>
    <w:lvl w:ilvl="7" w:tplc="F2926EE4" w:tentative="1">
      <w:start w:val="1"/>
      <w:numFmt w:val="lowerLetter"/>
      <w:lvlText w:val="%8)"/>
      <w:lvlJc w:val="left"/>
      <w:pPr>
        <w:ind w:left="3840" w:hanging="420"/>
      </w:pPr>
    </w:lvl>
    <w:lvl w:ilvl="8" w:tplc="A318652A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EF37372"/>
    <w:multiLevelType w:val="hybridMultilevel"/>
    <w:tmpl w:val="49D4E1C4"/>
    <w:lvl w:ilvl="0" w:tplc="04090017">
      <w:start w:val="1"/>
      <w:numFmt w:val="chineseCountingThousand"/>
      <w:lvlText w:val="(%1)"/>
      <w:lvlJc w:val="left"/>
      <w:pPr>
        <w:ind w:left="1098" w:hanging="420"/>
      </w:pPr>
    </w:lvl>
    <w:lvl w:ilvl="1" w:tplc="04090019" w:tentative="1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11">
    <w:nsid w:val="5C0E3C74"/>
    <w:multiLevelType w:val="hybridMultilevel"/>
    <w:tmpl w:val="BD481540"/>
    <w:lvl w:ilvl="0" w:tplc="CA9096AE">
      <w:start w:val="1"/>
      <w:numFmt w:val="decimal"/>
      <w:lvlText w:val="4.%1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12">
    <w:nsid w:val="66B8D2ED"/>
    <w:multiLevelType w:val="singleLevel"/>
    <w:tmpl w:val="3B2A264E"/>
    <w:lvl w:ilvl="0">
      <w:start w:val="1"/>
      <w:numFmt w:val="decimal"/>
      <w:lvlText w:val="1.%1"/>
      <w:lvlJc w:val="left"/>
      <w:pPr>
        <w:ind w:left="1140" w:hanging="420"/>
      </w:pPr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A0F31"/>
    <w:rsid w:val="001A1876"/>
    <w:rsid w:val="001C7B1B"/>
    <w:rsid w:val="003224FB"/>
    <w:rsid w:val="0034719D"/>
    <w:rsid w:val="0038203B"/>
    <w:rsid w:val="003C096F"/>
    <w:rsid w:val="003C3345"/>
    <w:rsid w:val="00470529"/>
    <w:rsid w:val="00491234"/>
    <w:rsid w:val="00725973"/>
    <w:rsid w:val="00803EC9"/>
    <w:rsid w:val="00976994"/>
    <w:rsid w:val="00A91FD0"/>
    <w:rsid w:val="00B11AB7"/>
    <w:rsid w:val="00B95650"/>
    <w:rsid w:val="00B977FB"/>
    <w:rsid w:val="00BD4C5B"/>
    <w:rsid w:val="00C31CC6"/>
    <w:rsid w:val="00C4351C"/>
    <w:rsid w:val="00C5228F"/>
    <w:rsid w:val="00D47E1F"/>
    <w:rsid w:val="00EC5419"/>
    <w:rsid w:val="00EF74C3"/>
    <w:rsid w:val="00FD609F"/>
    <w:rsid w:val="736A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B0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705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1Char">
    <w:name w:val="标题 1 Char"/>
    <w:basedOn w:val="a0"/>
    <w:link w:val="1"/>
    <w:uiPriority w:val="9"/>
    <w:rsid w:val="00470529"/>
    <w:rPr>
      <w:rFonts w:ascii="宋体" w:hAnsi="宋体" w:cs="宋体"/>
      <w:b/>
      <w:bCs/>
      <w:kern w:val="36"/>
      <w:sz w:val="48"/>
      <w:szCs w:val="48"/>
    </w:rPr>
  </w:style>
  <w:style w:type="table" w:customStyle="1" w:styleId="TableNormal">
    <w:name w:val="Table Normal"/>
    <w:semiHidden/>
    <w:unhideWhenUsed/>
    <w:qFormat/>
    <w:rsid w:val="00EF74C3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rsid w:val="00EF74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705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1Char">
    <w:name w:val="标题 1 Char"/>
    <w:basedOn w:val="a0"/>
    <w:link w:val="1"/>
    <w:uiPriority w:val="9"/>
    <w:rsid w:val="00470529"/>
    <w:rPr>
      <w:rFonts w:ascii="宋体" w:hAnsi="宋体" w:cs="宋体"/>
      <w:b/>
      <w:bCs/>
      <w:kern w:val="36"/>
      <w:sz w:val="48"/>
      <w:szCs w:val="48"/>
    </w:rPr>
  </w:style>
  <w:style w:type="table" w:customStyle="1" w:styleId="TableNormal">
    <w:name w:val="Table Normal"/>
    <w:semiHidden/>
    <w:unhideWhenUsed/>
    <w:qFormat/>
    <w:rsid w:val="00EF74C3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rsid w:val="00EF7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和兴</dc:creator>
  <cp:lastModifiedBy>DELL</cp:lastModifiedBy>
  <cp:revision>10</cp:revision>
  <dcterms:created xsi:type="dcterms:W3CDTF">2022-06-28T06:59:00Z</dcterms:created>
  <dcterms:modified xsi:type="dcterms:W3CDTF">2022-09-07T01:15:00Z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